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21.png" ContentType="image/png"/>
  <Override PartName="/word/media/rId25.png" ContentType="image/png"/>
  <Override PartName="/word/media/rId64.png" ContentType="image/png"/>
  <Override PartName="/word/media/rId45.png" ContentType="image/png"/>
  <Override PartName="/word/media/rId41.png" ContentType="image/png"/>
  <Override PartName="/word/media/rId37.png" ContentType="image/png"/>
  <Override PartName="/word/media/rId49.png" ContentType="image/png"/>
  <Override PartName="/word/media/rId57.png" ContentType="image/png"/>
  <Override PartName="/word/media/rId61.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86"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w:t>
      </w:r>
    </w:p>
    <w:p>
      <w:pPr>
        <w:pStyle w:val="CaptionedFigure"/>
      </w:pPr>
      <w:r>
        <w:drawing>
          <wp:inline>
            <wp:extent cx="5943600" cy="7641771"/>
            <wp:effectExtent b="0" l="0" r="0" t="0"/>
            <wp:docPr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CurveFit"/>
      <w:bookmarkEnd w:id="36"/>
      <w:r>
        <w:t xml:space="preserve">Figure 4:</w:t>
      </w:r>
      <w:r>
        <w:t xml:space="preserve"> </w:t>
      </w:r>
      <w:r>
        <w:rPr>
          <w:bCs/>
          <w:b/>
        </w:rPr>
        <w:t xml:space="preserve">Logistic fits of chlorophyll proxy OD</w:t>
      </w:r>
      <w:r>
        <w:rPr>
          <w:vertAlign w:val="subscript"/>
          <w:bCs/>
          <w:b/>
        </w:rPr>
        <w:t xml:space="preserve">680</w:t>
      </w:r>
      <w:r>
        <w:rPr>
          <w:bCs/>
          <w:b/>
        </w:rPr>
        <w:t xml:space="preserve">-OD</w:t>
      </w:r>
      <w:r>
        <w:rPr>
          <w:vertAlign w:val="subscript"/>
          <w:bCs/>
          <w:b/>
        </w:rPr>
        <w:t xml:space="preserve">720</w:t>
      </w:r>
      <w:r>
        <w:rPr>
          <w:bCs/>
          <w:b/>
        </w:rPr>
        <w:t xml:space="preserve"> </w:t>
      </w:r>
      <w:r>
        <w:rPr>
          <w:bCs/>
          <w:b/>
        </w:rPr>
        <w:t xml:space="preserve">(Δ OD) vs. elapsed time (h).</w:t>
      </w:r>
      <w:r>
        <w:t xml:space="preserve"> </w:t>
      </w:r>
      <w:r>
        <w:t xml:space="preserve">Logistic fits were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curves (thin line) estimated over 5-min intervals for each strain were also presented (PC-rich_056; dark green, PC-rich_077; light green, PE-rich_048; light red, PE-rich_127; dark red).</w:t>
      </w:r>
    </w:p>
    <w:p>
      <w:pPr>
        <w:pStyle w:val="CaptionedFigure"/>
      </w:pPr>
      <w:r>
        <w:drawing>
          <wp:inline>
            <wp:extent cx="5943600" cy="7641771"/>
            <wp:effectExtent b="0" l="0" r="0" t="0"/>
            <wp:docPr descr="Figure 5: Chlorophyll specific exponential growth rates (d−1) vs. cumulative diel PAR photon dose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38" name="Picture"/>
            <a:graphic>
              <a:graphicData uri="http://schemas.openxmlformats.org/drawingml/2006/picture">
                <pic:pic>
                  <pic:nvPicPr>
                    <pic:cNvPr descr="../Output/Figures/SFig_GrowthRate_Photoperiod_PAR.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GrowthRatePhotoperiodPAR"/>
      <w:bookmarkEnd w:id="40"/>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2" name="Picture"/>
            <a:graphic>
              <a:graphicData uri="http://schemas.openxmlformats.org/drawingml/2006/picture">
                <pic:pic>
                  <pic:nvPicPr>
                    <pic:cNvPr descr="../Output/Figures/SFig_GrowthRate_Light_PUR.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GrowthRateLightPUR"/>
      <w:bookmarkEnd w:id="44"/>
      <w:r>
        <w:t xml:space="preserve">Figure 6: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7: Chlorophyll specific exponential growth rates (d−1) vs. cumulative diel PAR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6" name="Picture"/>
            <a:graphic>
              <a:graphicData uri="http://schemas.openxmlformats.org/drawingml/2006/picture">
                <pic:pic>
                  <pic:nvPicPr>
                    <pic:cNvPr descr="../Output/Figures/SFig_GrowthRate_Light_PAR.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GrowthRateLightPAR"/>
      <w:bookmarkEnd w:id="48"/>
      <w:r>
        <w:t xml:space="preserve">Figure 7:</w:t>
      </w:r>
      <w:r>
        <w:t xml:space="preserve"> </w:t>
      </w:r>
      <w:r>
        <w:rPr>
          <w:bCs/>
          <w:b/>
        </w:rPr>
        <w:t xml:space="preserve">Chlorophyll specific exponential growth rates (d</w:t>
      </w:r>
      <w:r>
        <w:rPr>
          <w:vertAlign w:val="superscript"/>
          <w:bCs/>
          <w:b/>
        </w:rPr>
        <w:t xml:space="preserve">−1</w:t>
      </w:r>
      <w:r>
        <w:rPr>
          <w:bCs/>
          <w:b/>
        </w:rPr>
        <w:t xml:space="preserve">)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8: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0" name="Picture"/>
            <a:graphic>
              <a:graphicData uri="http://schemas.openxmlformats.org/drawingml/2006/picture">
                <pic:pic>
                  <pic:nvPicPr>
                    <pic:cNvPr descr="../Output/Figures/SFig_PhycoChlaRatio.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hycoChlaRatio"/>
      <w:bookmarkEnd w:id="52"/>
      <w:r>
        <w:t xml:space="preserve">Figure 8:</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9: Changes of effective absorption cross section of PSII (σPSII; nm2 quanta−1) measured at the dark period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4" name="Picture"/>
            <a:graphic>
              <a:graphicData uri="http://schemas.openxmlformats.org/drawingml/2006/picture">
                <pic:pic>
                  <pic:nvPicPr>
                    <pic:cNvPr descr="../Output/Figures/SFig_SigmaPig590dark.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590dark"/>
      <w:bookmarkEnd w:id="56"/>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8" name="Picture"/>
            <a:graphic>
              <a:graphicData uri="http://schemas.openxmlformats.org/drawingml/2006/picture">
                <pic:pic>
                  <pic:nvPicPr>
                    <pic:cNvPr descr="../Output/Figures/SFig_Sigma445.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445"/>
      <w:bookmarkEnd w:id="60"/>
      <w:r>
        <w:t xml:space="preserve">Figure 10:</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BodyText"/>
      </w:pPr>
      <w:r>
        <w:drawing>
          <wp:inline>
            <wp:extent cx="5943600" cy="7641771"/>
            <wp:effectExtent b="0" l="0" r="0" t="0"/>
            <wp:docPr descr="Figure 11: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2" name="Picture"/>
            <a:graphic>
              <a:graphicData uri="http://schemas.openxmlformats.org/drawingml/2006/picture">
                <pic:pic>
                  <pic:nvPicPr>
                    <pic:cNvPr descr="../Output/Figures/SFig_SigmaPig445.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r>
        <w:drawing>
          <wp:inline>
            <wp:extent cx="5943600" cy="7641771"/>
            <wp:effectExtent b="0" l="0" r="0" t="0"/>
            <wp:docPr descr="Figure 12: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1]. We also fit the same model separately for 30 (dark gray), 90 (light gray), 180 (purple), 300 (red), 600 together with 900 (orange) peak PAR µmol photons m−2s−1, only when they were each significantly different (ANOVA, p &lt; 0.05) from the fit of pooled data." title="" id="65" name="Picture"/>
            <a:graphic>
              <a:graphicData uri="http://schemas.openxmlformats.org/drawingml/2006/picture">
                <pic:pic>
                  <pic:nvPicPr>
                    <pic:cNvPr descr="../Output/Figures/SFig_GrowthRate_JVPSII_Light_stats.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TableCaption"/>
      </w:pPr>
      <w:bookmarkStart w:id="67" w:name="tab:unnamed-chunk-1"/>
      <w:bookmarkEnd w:id="67"/>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8" w:name="tab:unnamed-chunk-2"/>
      <w:bookmarkEnd w:id="68"/>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9" w:name="tab:unnamed-chunk-3"/>
      <w:bookmarkEnd w:id="69"/>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0" w:name="tab:unnamed-chunk-4"/>
      <w:bookmarkEnd w:id="70"/>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1" w:name="tab:unnamed-chunk-5"/>
      <w:bookmarkEnd w:id="71"/>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2" w:name="tab:unnamed-chunk-6"/>
      <w:bookmarkEnd w:id="72"/>
      <w:r>
        <w:t xml:space="preserve">Table 6:</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3" w:name="tab:unnamed-chunk-7"/>
      <w:bookmarkEnd w:id="73"/>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4" w:name="tab:unnamed-chunk-8"/>
      <w:bookmarkEnd w:id="74"/>
      <w:r>
        <w:t xml:space="preserve">Table 8:</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9"/>
      <w:bookmarkEnd w:id="75"/>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6" w:name="tab:unnamed-chunk-10"/>
      <w:bookmarkEnd w:id="76"/>
      <w:r>
        <w:t xml:space="preserve">Table 10:</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7" w:name="tab:unnamed-chunk-11"/>
      <w:bookmarkEnd w:id="77"/>
      <w:r>
        <w:t xml:space="preserve">Table 11:</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8" w:name="tab:unnamed-chunk-12"/>
      <w:bookmarkEnd w:id="78"/>
      <w:r>
        <w:t xml:space="preserve">Table 12:</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9" w:name="tab:unnamed-chunk-13"/>
      <w:bookmarkEnd w:id="79"/>
      <w:r>
        <w:t xml:space="preserve">Table 13:</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80" w:name="tab:unnamed-chunk-14"/>
      <w:bookmarkEnd w:id="80"/>
      <w:r>
        <w:t xml:space="preserve">Table 14:</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3.585e+03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1" w:name="tab:unnamed-chunk-15"/>
      <w:bookmarkEnd w:id="81"/>
      <w:r>
        <w:t xml:space="preserve">Table 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82" w:name="tab:unnamed-chunk-16"/>
      <w:bookmarkEnd w:id="82"/>
      <w:r>
        <w:t xml:space="preserve">Table 16:</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3.448e+03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685.232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3.610e+02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8,074.929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3" w:name="tab:unnamed-chunk-17"/>
      <w:bookmarkEnd w:id="83"/>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bookmarkStart w:id="85" w:name="refs"/>
    <w:bookmarkStart w:id="84" w:name="X2f3f2ef9f90eda6a1a18e84d8544e5d48a1f704"/>
    <w:p>
      <w:pPr>
        <w:pStyle w:val="Bibliography"/>
      </w:pPr>
      <w:r>
        <w:t xml:space="preserve">1.</w:t>
      </w:r>
      <w:r>
        <w:t xml:space="preserve"> </w:t>
      </w:r>
      <w:r>
        <w:t xml:space="preserve">	</w:t>
      </w:r>
      <w:r>
        <w:t xml:space="preserve">Harrison WG, Platt T. Photosynthesis-irradiance relationships in polar and temperate phytoplankton populations. Polar biology. 1986;5: 153–164.</w:t>
      </w:r>
      <w:r>
        <w:t xml:space="preserve"> </w:t>
      </w:r>
    </w:p>
    <w:bookmarkEnd w:id="84"/>
    <w:bookmarkEnd w:id="85"/>
    <w:bookmarkEnd w:id="8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2024-03-15T20:36:55Z</dcterms:created>
  <dcterms:modified xsi:type="dcterms:W3CDTF">2024-03-15T20:36:55Z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